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1B" w:rsidRDefault="00587B1B" w:rsidP="00587B1B">
      <w:pPr>
        <w:widowControl/>
        <w:spacing w:before="100" w:beforeAutospacing="1" w:after="100" w:afterAutospacing="1"/>
        <w:jc w:val="center"/>
        <w:outlineLvl w:val="0"/>
        <w:rPr>
          <w:rFonts w:ascii="宋体" w:hAnsi="宋体" w:cs="宋体"/>
          <w:b/>
          <w:kern w:val="0"/>
          <w:sz w:val="18"/>
        </w:rPr>
      </w:pPr>
      <w:bookmarkStart w:id="0" w:name="_Toc30599"/>
      <w:r>
        <w:rPr>
          <w:rFonts w:ascii="宋体" w:hAnsi="宋体" w:cs="宋体" w:hint="eastAsia"/>
          <w:b/>
          <w:kern w:val="0"/>
          <w:sz w:val="18"/>
        </w:rPr>
        <w:t>投资者权益须知</w:t>
      </w:r>
      <w:bookmarkEnd w:id="0"/>
    </w:p>
    <w:p w:rsidR="00587B1B" w:rsidRDefault="00587B1B" w:rsidP="00587B1B">
      <w:pPr>
        <w:widowControl/>
        <w:jc w:val="left"/>
        <w:rPr>
          <w:rFonts w:ascii="宋体" w:hAnsi="宋体" w:cs="宋体"/>
          <w:kern w:val="0"/>
          <w:sz w:val="24"/>
          <w:szCs w:val="24"/>
        </w:rPr>
      </w:pPr>
      <w:r>
        <w:rPr>
          <w:rFonts w:ascii="宋体" w:hAnsi="宋体" w:cs="宋体" w:hint="eastAsia"/>
          <w:kern w:val="0"/>
          <w:sz w:val="18"/>
          <w:szCs w:val="18"/>
        </w:rPr>
        <w:t>尊敬的投资者：</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感谢您购买余杭农商行（“我行”）理财产品，请仔细阅读本《投资者权益须知》，行使您在本业务项下的权益。</w:t>
      </w:r>
    </w:p>
    <w:p w:rsidR="00587B1B" w:rsidRDefault="00587B1B" w:rsidP="00587B1B">
      <w:pPr>
        <w:widowControl/>
        <w:ind w:firstLineChars="200" w:firstLine="361"/>
        <w:jc w:val="left"/>
        <w:rPr>
          <w:rFonts w:ascii="宋体" w:hAnsi="宋体" w:cs="宋体"/>
          <w:kern w:val="0"/>
          <w:sz w:val="24"/>
          <w:szCs w:val="24"/>
        </w:rPr>
      </w:pPr>
      <w:r>
        <w:rPr>
          <w:rFonts w:ascii="宋体" w:hAnsi="宋体" w:cs="宋体" w:hint="eastAsia"/>
          <w:b/>
          <w:kern w:val="0"/>
          <w:sz w:val="18"/>
        </w:rPr>
        <w:t>一、理财产品购买流程</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1、开立或持有余杭农商行账户，该账户用于本产品的理财资金划转及兑付，您应确保持有本产品期间所指定账户不做销户。</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2、接受并完成我行对您的风险承受能力评估，并根据风险评估结果选择适合的产品。</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3、请仔细阅读《产品协议书》、《产品说明书》、《风险揭示书》、《投资者权益须知》以及其他有关文件（如有），确认已同意相关内容、充分了解相关风险并无疑问和异议后，签署相关销售文件，并办理购买手续。</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4、我行营业网点或者电子银行（包括丰收互联（手机银行）、自助终端、发卡机）均可办理理财产品的购买手续，但是对于具体理财产品，我行将根据产品风险等级和市场情况自行确定发售渠道。</w:t>
      </w:r>
    </w:p>
    <w:p w:rsidR="00587B1B" w:rsidRDefault="00587B1B" w:rsidP="00587B1B">
      <w:pPr>
        <w:widowControl/>
        <w:ind w:firstLineChars="200" w:firstLine="361"/>
        <w:jc w:val="left"/>
        <w:rPr>
          <w:rFonts w:ascii="宋体" w:hAnsi="宋体" w:cs="宋体"/>
          <w:kern w:val="0"/>
          <w:sz w:val="24"/>
          <w:szCs w:val="24"/>
        </w:rPr>
      </w:pPr>
      <w:r>
        <w:rPr>
          <w:rFonts w:ascii="宋体" w:hAnsi="宋体" w:cs="宋体" w:hint="eastAsia"/>
          <w:b/>
          <w:kern w:val="0"/>
          <w:sz w:val="18"/>
        </w:rPr>
        <w:t>二、投资者风险承受能力评估</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您首次购买我行理财产品前，需要在我行营业网点进行风险承受能力评估，填写《个人投资者风险承受能力评估问卷》，我行理财销售管理系统会记录投资者身份信息及风险评估结果信息。该评估结果有效期一年，并将作为评价您是否适合购买理财产品的重要因素。您可以通过我行营业网点或网上银行进行风险承受能力持续评估。</w:t>
      </w:r>
      <w:r>
        <w:rPr>
          <w:rFonts w:ascii="宋体" w:hAnsi="宋体" w:cs="仿宋_GB2312" w:hint="eastAsia"/>
          <w:b/>
          <w:kern w:val="0"/>
          <w:sz w:val="18"/>
        </w:rPr>
        <w:t>如影响您风险承受能力的因素发生变化，请您及时重新完成风险承受能力评估。</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我行投资者根据风险承受能力，投资者由低至高分为PR1至PR</w:t>
      </w:r>
      <w:r>
        <w:rPr>
          <w:rFonts w:ascii="宋体" w:hAnsi="宋体" w:cs="宋体"/>
          <w:kern w:val="0"/>
          <w:sz w:val="18"/>
          <w:szCs w:val="18"/>
        </w:rPr>
        <w:t>5</w:t>
      </w:r>
      <w:r>
        <w:rPr>
          <w:rFonts w:ascii="宋体" w:hAnsi="宋体" w:cs="宋体" w:hint="eastAsia"/>
          <w:kern w:val="0"/>
          <w:sz w:val="18"/>
          <w:szCs w:val="18"/>
        </w:rPr>
        <w:t>五个等级。其中，PR1为风险承受能力最低类别，PR</w:t>
      </w:r>
      <w:r>
        <w:rPr>
          <w:rFonts w:ascii="宋体" w:hAnsi="宋体" w:cs="宋体"/>
          <w:kern w:val="0"/>
          <w:sz w:val="18"/>
          <w:szCs w:val="18"/>
        </w:rPr>
        <w:t>5</w:t>
      </w:r>
      <w:r>
        <w:rPr>
          <w:rFonts w:ascii="宋体" w:hAnsi="宋体" w:cs="宋体" w:hint="eastAsia"/>
          <w:kern w:val="0"/>
          <w:sz w:val="18"/>
          <w:szCs w:val="18"/>
        </w:rPr>
        <w:t>为风险承受能力最高类别。风险承受能力评级越高适合购买的理财产品风险评级越高，适合购买的理财产品类型越丰富，投资者风险承受能力风险评级类型与适合购买的理财产品的对应关系为：</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4870"/>
        <w:gridCol w:w="2057"/>
      </w:tblGrid>
      <w:tr w:rsidR="00587B1B" w:rsidTr="004F2710">
        <w:trPr>
          <w:trHeight w:val="28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spacing w:after="160" w:line="240" w:lineRule="exact"/>
              <w:jc w:val="center"/>
              <w:rPr>
                <w:rFonts w:ascii="宋体" w:hAnsi="宋体" w:cs="宋体"/>
                <w:kern w:val="0"/>
                <w:sz w:val="24"/>
                <w:szCs w:val="24"/>
              </w:rPr>
            </w:pPr>
            <w:r>
              <w:rPr>
                <w:rFonts w:ascii="宋体" w:hAnsi="宋体" w:cs="宋体" w:hint="eastAsia"/>
                <w:kern w:val="0"/>
                <w:sz w:val="18"/>
                <w:szCs w:val="18"/>
              </w:rPr>
              <w:t>风险评级</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spacing w:after="160" w:line="240" w:lineRule="exact"/>
              <w:jc w:val="center"/>
              <w:rPr>
                <w:rFonts w:ascii="宋体" w:hAnsi="宋体" w:cs="宋体"/>
                <w:kern w:val="0"/>
                <w:sz w:val="24"/>
                <w:szCs w:val="24"/>
              </w:rPr>
            </w:pPr>
            <w:r>
              <w:rPr>
                <w:rFonts w:ascii="宋体" w:hAnsi="宋体" w:cs="宋体" w:hint="eastAsia"/>
                <w:kern w:val="0"/>
                <w:sz w:val="18"/>
                <w:szCs w:val="18"/>
              </w:rPr>
              <w:t>评级说明</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spacing w:after="160" w:line="240" w:lineRule="exact"/>
              <w:jc w:val="center"/>
              <w:rPr>
                <w:rFonts w:ascii="宋体" w:hAnsi="宋体" w:cs="宋体"/>
                <w:kern w:val="0"/>
                <w:sz w:val="24"/>
                <w:szCs w:val="24"/>
              </w:rPr>
            </w:pPr>
            <w:r>
              <w:rPr>
                <w:rFonts w:ascii="宋体" w:hAnsi="宋体" w:cs="宋体" w:hint="eastAsia"/>
                <w:kern w:val="0"/>
                <w:sz w:val="18"/>
                <w:szCs w:val="18"/>
              </w:rPr>
              <w:t>适合的投资人</w:t>
            </w:r>
          </w:p>
        </w:tc>
      </w:tr>
      <w:tr w:rsidR="00587B1B" w:rsidTr="004F2710">
        <w:trPr>
          <w:trHeight w:val="3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jc w:val="center"/>
              <w:rPr>
                <w:rFonts w:ascii="宋体" w:hAnsi="宋体" w:cs="宋体"/>
                <w:kern w:val="0"/>
                <w:sz w:val="24"/>
                <w:szCs w:val="24"/>
              </w:rPr>
            </w:pPr>
            <w:r>
              <w:rPr>
                <w:rFonts w:ascii="宋体" w:hAnsi="宋体" w:cs="宋体" w:hint="eastAsia"/>
                <w:kern w:val="0"/>
                <w:sz w:val="18"/>
                <w:szCs w:val="18"/>
              </w:rPr>
              <w:t>PR1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rPr>
                <w:rFonts w:ascii="宋体" w:hAnsi="宋体" w:cs="宋体"/>
                <w:kern w:val="0"/>
                <w:sz w:val="18"/>
                <w:szCs w:val="18"/>
              </w:rPr>
            </w:pPr>
            <w:r>
              <w:rPr>
                <w:rFonts w:ascii="宋体" w:hAnsi="宋体" w:cs="宋体" w:hint="eastAsia"/>
                <w:kern w:val="0"/>
                <w:sz w:val="18"/>
                <w:szCs w:val="18"/>
              </w:rPr>
              <w:t>总体风险程度低，收益波动小，产品本金安全性高，收益不能实现的可能性低。</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jc w:val="center"/>
              <w:rPr>
                <w:rFonts w:ascii="宋体" w:hAnsi="宋体" w:cs="宋体"/>
                <w:kern w:val="0"/>
                <w:sz w:val="18"/>
                <w:szCs w:val="18"/>
              </w:rPr>
            </w:pPr>
            <w:r>
              <w:rPr>
                <w:rFonts w:ascii="宋体" w:hAnsi="宋体" w:cs="宋体" w:hint="eastAsia"/>
                <w:kern w:val="0"/>
                <w:sz w:val="18"/>
                <w:szCs w:val="18"/>
              </w:rPr>
              <w:t>保守型</w:t>
            </w:r>
          </w:p>
        </w:tc>
      </w:tr>
      <w:tr w:rsidR="00587B1B" w:rsidTr="004F2710">
        <w:trPr>
          <w:trHeight w:val="7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jc w:val="center"/>
              <w:rPr>
                <w:rFonts w:ascii="宋体" w:hAnsi="宋体" w:cs="宋体"/>
                <w:kern w:val="0"/>
                <w:sz w:val="24"/>
                <w:szCs w:val="24"/>
              </w:rPr>
            </w:pPr>
            <w:r>
              <w:rPr>
                <w:rFonts w:ascii="宋体" w:hAnsi="宋体" w:cs="宋体" w:hint="eastAsia"/>
                <w:kern w:val="0"/>
                <w:sz w:val="18"/>
                <w:szCs w:val="18"/>
              </w:rPr>
              <w:t>PR2</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rPr>
                <w:rFonts w:ascii="宋体" w:hAnsi="宋体" w:cs="宋体"/>
                <w:kern w:val="0"/>
                <w:sz w:val="18"/>
                <w:szCs w:val="18"/>
              </w:rPr>
            </w:pPr>
            <w:r>
              <w:rPr>
                <w:rFonts w:ascii="宋体" w:hAnsi="宋体" w:cs="宋体" w:hint="eastAsia"/>
                <w:kern w:val="0"/>
                <w:sz w:val="18"/>
                <w:szCs w:val="18"/>
              </w:rPr>
              <w:t>总体风险程度较低，收益波动较小，虽然存在一些可能对产品本金和收益安全产品不利影响的因素，但产品本金出现损失的可能性较小。</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jc w:val="center"/>
              <w:rPr>
                <w:rFonts w:ascii="宋体" w:hAnsi="宋体" w:cs="宋体"/>
                <w:kern w:val="0"/>
                <w:sz w:val="18"/>
                <w:szCs w:val="18"/>
              </w:rPr>
            </w:pPr>
            <w:r>
              <w:rPr>
                <w:rFonts w:ascii="宋体" w:hAnsi="宋体" w:cs="宋体" w:hint="eastAsia"/>
                <w:kern w:val="0"/>
                <w:sz w:val="18"/>
                <w:szCs w:val="18"/>
              </w:rPr>
              <w:t>谨慎型</w:t>
            </w:r>
          </w:p>
        </w:tc>
      </w:tr>
      <w:tr w:rsidR="00587B1B" w:rsidTr="004F2710">
        <w:trPr>
          <w:trHeight w:val="6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jc w:val="center"/>
              <w:rPr>
                <w:rFonts w:ascii="宋体" w:hAnsi="宋体" w:cs="宋体"/>
                <w:kern w:val="0"/>
                <w:sz w:val="24"/>
                <w:szCs w:val="24"/>
              </w:rPr>
            </w:pPr>
            <w:r>
              <w:rPr>
                <w:rFonts w:ascii="宋体" w:hAnsi="宋体" w:cs="宋体" w:hint="eastAsia"/>
                <w:kern w:val="0"/>
                <w:sz w:val="18"/>
                <w:szCs w:val="18"/>
              </w:rPr>
              <w:t>PR3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rPr>
                <w:rFonts w:ascii="宋体" w:hAnsi="宋体" w:cs="宋体"/>
                <w:kern w:val="0"/>
                <w:sz w:val="18"/>
                <w:szCs w:val="18"/>
              </w:rPr>
            </w:pPr>
            <w:r>
              <w:rPr>
                <w:rFonts w:ascii="宋体" w:hAnsi="宋体" w:cs="宋体" w:hint="eastAsia"/>
                <w:kern w:val="0"/>
                <w:sz w:val="18"/>
                <w:szCs w:val="18"/>
              </w:rPr>
              <w:t>总体风险程度适中，收益存在一定的波动，产品本金出现损失的可能性不容忽视。</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jc w:val="center"/>
              <w:rPr>
                <w:rFonts w:ascii="宋体" w:hAnsi="宋体" w:cs="宋体"/>
                <w:kern w:val="0"/>
                <w:sz w:val="18"/>
                <w:szCs w:val="18"/>
              </w:rPr>
            </w:pPr>
            <w:r>
              <w:rPr>
                <w:rFonts w:ascii="宋体" w:hAnsi="宋体" w:cs="宋体" w:hint="eastAsia"/>
                <w:kern w:val="0"/>
                <w:sz w:val="18"/>
                <w:szCs w:val="18"/>
              </w:rPr>
              <w:t>稳健型</w:t>
            </w:r>
          </w:p>
        </w:tc>
      </w:tr>
      <w:tr w:rsidR="00587B1B" w:rsidTr="004F2710">
        <w:trPr>
          <w:trHeight w:val="60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jc w:val="center"/>
              <w:rPr>
                <w:rFonts w:ascii="宋体" w:hAnsi="宋体" w:cs="宋体"/>
                <w:kern w:val="0"/>
                <w:sz w:val="24"/>
                <w:szCs w:val="24"/>
              </w:rPr>
            </w:pPr>
            <w:r>
              <w:rPr>
                <w:rFonts w:ascii="宋体" w:hAnsi="宋体" w:cs="宋体" w:hint="eastAsia"/>
                <w:kern w:val="0"/>
                <w:sz w:val="18"/>
                <w:szCs w:val="18"/>
              </w:rPr>
              <w:t>PR4</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rPr>
                <w:rFonts w:ascii="宋体" w:hAnsi="宋体" w:cs="宋体"/>
                <w:kern w:val="0"/>
                <w:sz w:val="18"/>
                <w:szCs w:val="18"/>
              </w:rPr>
            </w:pPr>
            <w:r>
              <w:rPr>
                <w:rFonts w:ascii="宋体" w:hAnsi="宋体" w:cs="宋体" w:hint="eastAsia"/>
                <w:kern w:val="0"/>
                <w:sz w:val="18"/>
                <w:szCs w:val="18"/>
              </w:rPr>
              <w:t>总体风险程度较高，收益波动较明显，产品本金出现损失的可能性高。</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jc w:val="center"/>
              <w:rPr>
                <w:rFonts w:ascii="宋体" w:hAnsi="宋体" w:cs="宋体"/>
                <w:kern w:val="0"/>
                <w:sz w:val="18"/>
                <w:szCs w:val="18"/>
              </w:rPr>
            </w:pPr>
            <w:r>
              <w:rPr>
                <w:rFonts w:ascii="宋体" w:hAnsi="宋体" w:cs="宋体" w:hint="eastAsia"/>
                <w:kern w:val="0"/>
                <w:sz w:val="18"/>
                <w:szCs w:val="18"/>
              </w:rPr>
              <w:t>进取型</w:t>
            </w:r>
          </w:p>
        </w:tc>
      </w:tr>
      <w:tr w:rsidR="00587B1B" w:rsidTr="004F2710">
        <w:trPr>
          <w:trHeight w:val="72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widowControl/>
              <w:jc w:val="center"/>
              <w:rPr>
                <w:rFonts w:ascii="宋体" w:hAnsi="宋体" w:cs="宋体"/>
                <w:kern w:val="0"/>
                <w:sz w:val="24"/>
                <w:szCs w:val="24"/>
              </w:rPr>
            </w:pPr>
            <w:r>
              <w:rPr>
                <w:rFonts w:ascii="宋体" w:hAnsi="宋体" w:cs="宋体" w:hint="eastAsia"/>
                <w:kern w:val="0"/>
                <w:sz w:val="18"/>
                <w:szCs w:val="18"/>
              </w:rPr>
              <w:t>PR5</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rPr>
                <w:rFonts w:ascii="宋体" w:hAnsi="宋体" w:cs="宋体"/>
                <w:kern w:val="0"/>
                <w:sz w:val="18"/>
                <w:szCs w:val="18"/>
              </w:rPr>
            </w:pPr>
            <w:r>
              <w:rPr>
                <w:rFonts w:ascii="宋体" w:hAnsi="宋体" w:cs="宋体" w:hint="eastAsia"/>
                <w:kern w:val="0"/>
                <w:sz w:val="18"/>
                <w:szCs w:val="18"/>
              </w:rPr>
              <w:t>总体风险程度高，收益波动明显，产品本金出现损失的可能性很高，产品本金出现全部损失的可能性不容忽视。</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87B1B" w:rsidRDefault="00587B1B" w:rsidP="004F2710">
            <w:pPr>
              <w:spacing w:line="320" w:lineRule="exact"/>
              <w:jc w:val="center"/>
              <w:rPr>
                <w:rFonts w:ascii="宋体" w:hAnsi="宋体" w:cs="宋体"/>
                <w:kern w:val="0"/>
                <w:sz w:val="18"/>
                <w:szCs w:val="18"/>
              </w:rPr>
            </w:pPr>
            <w:r>
              <w:rPr>
                <w:rFonts w:ascii="宋体" w:hAnsi="宋体" w:cs="宋体" w:hint="eastAsia"/>
                <w:bCs/>
                <w:kern w:val="0"/>
                <w:sz w:val="18"/>
                <w:szCs w:val="18"/>
              </w:rPr>
              <w:t>激进型</w:t>
            </w:r>
          </w:p>
        </w:tc>
      </w:tr>
    </w:tbl>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三、理财产品的信息披露将通过余杭农商行营业网点或余杭农商行网站（www.yhrcb.com）等渠道进行，具体方式、渠道及频率以《产品说明书》中“信息披露”约定为准。</w:t>
      </w:r>
    </w:p>
    <w:p w:rsidR="00587B1B" w:rsidRDefault="00587B1B" w:rsidP="00587B1B">
      <w:pPr>
        <w:widowControl/>
        <w:ind w:firstLineChars="200" w:firstLine="360"/>
        <w:jc w:val="left"/>
        <w:rPr>
          <w:rFonts w:ascii="宋体" w:hAnsi="宋体" w:cs="宋体"/>
          <w:kern w:val="0"/>
          <w:sz w:val="24"/>
          <w:szCs w:val="24"/>
        </w:rPr>
      </w:pPr>
      <w:r>
        <w:rPr>
          <w:rFonts w:ascii="宋体" w:hAnsi="宋体" w:cs="宋体" w:hint="eastAsia"/>
          <w:kern w:val="0"/>
          <w:sz w:val="18"/>
          <w:szCs w:val="18"/>
        </w:rPr>
        <w:t>四、您对本产品有任何意见或异议，可反馈至我行营业网点，也可致电我行投资者服务热线96596。</w:t>
      </w:r>
    </w:p>
    <w:p w:rsidR="00587B1B" w:rsidRDefault="00587B1B" w:rsidP="00587B1B">
      <w:pPr>
        <w:widowControl/>
        <w:ind w:rightChars="40" w:right="84" w:firstLineChars="3550" w:firstLine="8520"/>
        <w:jc w:val="left"/>
        <w:rPr>
          <w:rFonts w:ascii="宋体" w:hAnsi="宋体" w:cs="宋体"/>
          <w:kern w:val="0"/>
          <w:sz w:val="24"/>
          <w:szCs w:val="24"/>
        </w:rPr>
      </w:pPr>
      <w:r>
        <w:rPr>
          <w:rFonts w:ascii="宋体" w:hAnsi="宋体" w:cs="宋体" w:hint="eastAsia"/>
          <w:kern w:val="0"/>
          <w:sz w:val="24"/>
          <w:szCs w:val="24"/>
        </w:rPr>
        <w:t> </w:t>
      </w:r>
    </w:p>
    <w:p w:rsidR="00587B1B" w:rsidRDefault="00587B1B" w:rsidP="00587B1B">
      <w:pPr>
        <w:widowControl/>
        <w:ind w:rightChars="40" w:right="84"/>
        <w:jc w:val="right"/>
        <w:rPr>
          <w:rFonts w:ascii="宋体" w:hAnsi="宋体" w:cs="宋体"/>
          <w:kern w:val="0"/>
          <w:sz w:val="24"/>
          <w:szCs w:val="24"/>
        </w:rPr>
      </w:pPr>
      <w:r>
        <w:rPr>
          <w:rFonts w:ascii="宋体" w:hAnsi="宋体" w:cs="宋体" w:hint="eastAsia"/>
          <w:kern w:val="0"/>
          <w:sz w:val="18"/>
          <w:szCs w:val="18"/>
        </w:rPr>
        <w:t>浙江杭州余杭农村商业银行股份有限公司</w:t>
      </w:r>
    </w:p>
    <w:p w:rsidR="00160B65" w:rsidRPr="00587B1B" w:rsidRDefault="00160B65"/>
    <w:sectPr w:rsidR="00160B65" w:rsidRPr="00587B1B" w:rsidSect="00160B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7B1B"/>
    <w:rsid w:val="00160B65"/>
    <w:rsid w:val="00587B1B"/>
    <w:rsid w:val="00881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8032937</dc:creator>
  <cp:lastModifiedBy>8032937</cp:lastModifiedBy>
  <cp:revision>1</cp:revision>
  <dcterms:created xsi:type="dcterms:W3CDTF">2021-05-12T07:56:00Z</dcterms:created>
  <dcterms:modified xsi:type="dcterms:W3CDTF">2021-05-12T07:57:00Z</dcterms:modified>
</cp:coreProperties>
</file>